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22" w:rsidRDefault="001C18FA" w:rsidP="00360704">
      <w:pPr>
        <w:jc w:val="center"/>
      </w:pPr>
      <w:r>
        <w:t>Overview of Governor’s 2016-17</w:t>
      </w:r>
      <w:r w:rsidR="00360704">
        <w:t xml:space="preserve"> Budget Proposal</w:t>
      </w:r>
    </w:p>
    <w:p w:rsidR="00360704" w:rsidRDefault="00360704" w:rsidP="00360704">
      <w:pPr>
        <w:rPr>
          <w:u w:val="single"/>
        </w:rPr>
      </w:pPr>
      <w:r>
        <w:rPr>
          <w:u w:val="single"/>
        </w:rPr>
        <w:t>US Outlook</w:t>
      </w:r>
    </w:p>
    <w:p w:rsidR="00360704" w:rsidRDefault="00360704" w:rsidP="00360704">
      <w:pPr>
        <w:pStyle w:val="ListParagraph"/>
        <w:numPr>
          <w:ilvl w:val="0"/>
          <w:numId w:val="1"/>
        </w:numPr>
      </w:pPr>
      <w:r>
        <w:t xml:space="preserve">US economy continues to show </w:t>
      </w:r>
      <w:r w:rsidR="00716C5A">
        <w:t>steady growth</w:t>
      </w:r>
    </w:p>
    <w:p w:rsidR="00D9105D" w:rsidRDefault="00D9105D" w:rsidP="00D9105D">
      <w:pPr>
        <w:pStyle w:val="ListParagraph"/>
        <w:numPr>
          <w:ilvl w:val="1"/>
          <w:numId w:val="1"/>
        </w:numPr>
      </w:pPr>
      <w:r>
        <w:t>Forecasters don’t believe another recession is imminent</w:t>
      </w:r>
    </w:p>
    <w:p w:rsidR="00D9105D" w:rsidRDefault="00D9105D" w:rsidP="00D9105D">
      <w:pPr>
        <w:pStyle w:val="ListParagraph"/>
        <w:numPr>
          <w:ilvl w:val="1"/>
          <w:numId w:val="1"/>
        </w:numPr>
      </w:pPr>
      <w:r>
        <w:t>However, they didn’t predict the last recession either</w:t>
      </w:r>
    </w:p>
    <w:p w:rsidR="00360704" w:rsidRDefault="00360704" w:rsidP="00360704">
      <w:pPr>
        <w:pStyle w:val="ListParagraph"/>
        <w:numPr>
          <w:ilvl w:val="0"/>
          <w:numId w:val="1"/>
        </w:numPr>
      </w:pPr>
      <w:r>
        <w:t>Factors contributing to growth</w:t>
      </w:r>
    </w:p>
    <w:p w:rsidR="00360704" w:rsidRDefault="00360704" w:rsidP="00360704">
      <w:pPr>
        <w:pStyle w:val="ListParagraph"/>
        <w:numPr>
          <w:ilvl w:val="1"/>
          <w:numId w:val="1"/>
        </w:numPr>
      </w:pPr>
      <w:r>
        <w:t>Stock market hitting new highs</w:t>
      </w:r>
    </w:p>
    <w:p w:rsidR="00360704" w:rsidRDefault="001C18FA" w:rsidP="00360704">
      <w:pPr>
        <w:pStyle w:val="ListParagraph"/>
        <w:numPr>
          <w:ilvl w:val="1"/>
          <w:numId w:val="1"/>
        </w:numPr>
      </w:pPr>
      <w:r>
        <w:t>Recovery of h</w:t>
      </w:r>
      <w:r w:rsidR="00360704">
        <w:t>ousing market</w:t>
      </w:r>
    </w:p>
    <w:p w:rsidR="00360704" w:rsidRDefault="00360704" w:rsidP="00360704">
      <w:pPr>
        <w:pStyle w:val="ListParagraph"/>
        <w:numPr>
          <w:ilvl w:val="1"/>
          <w:numId w:val="1"/>
        </w:numPr>
      </w:pPr>
      <w:r>
        <w:t>Increase in capital investments</w:t>
      </w:r>
    </w:p>
    <w:p w:rsidR="00360704" w:rsidRDefault="001C18FA" w:rsidP="00360704">
      <w:pPr>
        <w:pStyle w:val="ListParagraph"/>
        <w:numPr>
          <w:ilvl w:val="1"/>
          <w:numId w:val="1"/>
        </w:numPr>
      </w:pPr>
      <w:r>
        <w:t>Job growth</w:t>
      </w:r>
    </w:p>
    <w:p w:rsidR="001C18FA" w:rsidRDefault="001C18FA" w:rsidP="00360704">
      <w:pPr>
        <w:pStyle w:val="ListParagraph"/>
        <w:numPr>
          <w:ilvl w:val="1"/>
          <w:numId w:val="1"/>
        </w:numPr>
      </w:pPr>
      <w:r>
        <w:t>Low interest rates and inflation</w:t>
      </w:r>
    </w:p>
    <w:p w:rsidR="00360704" w:rsidRDefault="00360704" w:rsidP="00360704">
      <w:pPr>
        <w:pStyle w:val="ListParagraph"/>
        <w:numPr>
          <w:ilvl w:val="1"/>
          <w:numId w:val="1"/>
        </w:numPr>
      </w:pPr>
      <w:r>
        <w:t>Consumer</w:t>
      </w:r>
      <w:r w:rsidR="00D9105D">
        <w:t xml:space="preserve"> and government</w:t>
      </w:r>
      <w:r>
        <w:t xml:space="preserve"> spending continues to rise</w:t>
      </w:r>
    </w:p>
    <w:p w:rsidR="00FD606B" w:rsidRDefault="00FD606B" w:rsidP="00FD606B">
      <w:pPr>
        <w:pStyle w:val="ListParagraph"/>
        <w:numPr>
          <w:ilvl w:val="2"/>
          <w:numId w:val="1"/>
        </w:numPr>
      </w:pPr>
      <w:r>
        <w:t>Spurred heavily by the reduction in oil prices, which puts more money in the pockets of consumers</w:t>
      </w:r>
    </w:p>
    <w:p w:rsidR="00360704" w:rsidRDefault="00360704" w:rsidP="00360704">
      <w:pPr>
        <w:rPr>
          <w:u w:val="single"/>
        </w:rPr>
      </w:pPr>
      <w:r>
        <w:rPr>
          <w:u w:val="single"/>
        </w:rPr>
        <w:t>California Outlook</w:t>
      </w:r>
    </w:p>
    <w:p w:rsidR="00360704" w:rsidRDefault="00360704" w:rsidP="00360704">
      <w:pPr>
        <w:pStyle w:val="ListParagraph"/>
        <w:numPr>
          <w:ilvl w:val="0"/>
          <w:numId w:val="1"/>
        </w:numPr>
      </w:pPr>
      <w:r>
        <w:t xml:space="preserve">California economy </w:t>
      </w:r>
      <w:r w:rsidR="00E82D7A">
        <w:t>is following the same trend as</w:t>
      </w:r>
      <w:r>
        <w:t xml:space="preserve"> the nation as a whole</w:t>
      </w:r>
      <w:r w:rsidR="003604C7">
        <w:t xml:space="preserve"> with moder</w:t>
      </w:r>
      <w:r w:rsidR="00244EF5">
        <w:t>ate growth projected for 2016-17</w:t>
      </w:r>
    </w:p>
    <w:p w:rsidR="00360704" w:rsidRDefault="00834771" w:rsidP="00834771">
      <w:pPr>
        <w:pStyle w:val="ListParagraph"/>
        <w:numPr>
          <w:ilvl w:val="1"/>
          <w:numId w:val="1"/>
        </w:numPr>
      </w:pPr>
      <w:r>
        <w:t xml:space="preserve">Unemployment </w:t>
      </w:r>
      <w:r w:rsidR="00244EF5">
        <w:t>rates continue to fall</w:t>
      </w:r>
    </w:p>
    <w:p w:rsidR="00834771" w:rsidRDefault="00E82D7A" w:rsidP="00834771">
      <w:pPr>
        <w:pStyle w:val="ListParagraph"/>
        <w:numPr>
          <w:ilvl w:val="2"/>
          <w:numId w:val="1"/>
        </w:numPr>
      </w:pPr>
      <w:r>
        <w:t>Unemployment rates are still uneven across the State</w:t>
      </w:r>
    </w:p>
    <w:p w:rsidR="00834771" w:rsidRDefault="00834771" w:rsidP="00834771">
      <w:pPr>
        <w:pStyle w:val="ListParagraph"/>
        <w:numPr>
          <w:ilvl w:val="1"/>
          <w:numId w:val="1"/>
        </w:numPr>
      </w:pPr>
      <w:r>
        <w:t xml:space="preserve">Personal income growth projected to </w:t>
      </w:r>
      <w:r w:rsidR="00E82D7A">
        <w:t xml:space="preserve">continue to </w:t>
      </w:r>
      <w:r>
        <w:t>increase in the near future</w:t>
      </w:r>
    </w:p>
    <w:p w:rsidR="008B0C2C" w:rsidRDefault="00BC7629" w:rsidP="00BC7629">
      <w:pPr>
        <w:pStyle w:val="ListParagraph"/>
        <w:numPr>
          <w:ilvl w:val="1"/>
          <w:numId w:val="1"/>
        </w:numPr>
      </w:pPr>
      <w:r>
        <w:t>Automobile sales have increased as a result of low oil prices</w:t>
      </w:r>
    </w:p>
    <w:p w:rsidR="007F1B2C" w:rsidRDefault="0005250B" w:rsidP="0005250B">
      <w:pPr>
        <w:pStyle w:val="ListParagraph"/>
        <w:numPr>
          <w:ilvl w:val="0"/>
          <w:numId w:val="1"/>
        </w:numPr>
      </w:pPr>
      <w:r>
        <w:t>California State Budget</w:t>
      </w:r>
    </w:p>
    <w:p w:rsidR="0005250B" w:rsidRDefault="007342CA" w:rsidP="0005250B">
      <w:pPr>
        <w:pStyle w:val="ListParagraph"/>
        <w:numPr>
          <w:ilvl w:val="1"/>
          <w:numId w:val="1"/>
        </w:numPr>
      </w:pPr>
      <w:r>
        <w:t>General Fu</w:t>
      </w:r>
      <w:r w:rsidR="007B5507">
        <w:t>nd exp</w:t>
      </w:r>
      <w:r w:rsidR="00BC7629">
        <w:t>enditures projected to be $122.6</w:t>
      </w:r>
      <w:r w:rsidR="007B5507">
        <w:t xml:space="preserve"> billion</w:t>
      </w:r>
    </w:p>
    <w:p w:rsidR="000161FD" w:rsidRDefault="007342CA" w:rsidP="0005250B">
      <w:pPr>
        <w:pStyle w:val="ListParagraph"/>
        <w:numPr>
          <w:ilvl w:val="1"/>
          <w:numId w:val="1"/>
        </w:numPr>
      </w:pPr>
      <w:r>
        <w:t>General Fund revenu</w:t>
      </w:r>
      <w:r w:rsidR="007B5507">
        <w:t>es/</w:t>
      </w:r>
      <w:r w:rsidR="00DB2052">
        <w:t>carryover</w:t>
      </w:r>
      <w:r w:rsidR="007B5507">
        <w:t xml:space="preserve"> projected to be almost $</w:t>
      </w:r>
      <w:r w:rsidR="00BC7629">
        <w:t>125.8</w:t>
      </w:r>
      <w:r>
        <w:t xml:space="preserve"> billion</w:t>
      </w:r>
    </w:p>
    <w:p w:rsidR="007342CA" w:rsidRDefault="007B5507" w:rsidP="007342CA">
      <w:pPr>
        <w:pStyle w:val="ListParagraph"/>
        <w:numPr>
          <w:ilvl w:val="2"/>
          <w:numId w:val="1"/>
        </w:numPr>
      </w:pPr>
      <w:r>
        <w:t>$1</w:t>
      </w:r>
      <w:r w:rsidR="00BC7629">
        <w:t>22.6</w:t>
      </w:r>
      <w:r w:rsidR="007342CA">
        <w:t xml:space="preserve"> bil</w:t>
      </w:r>
      <w:r w:rsidR="00BC7629">
        <w:t>lion in new revenues for 2016-17</w:t>
      </w:r>
    </w:p>
    <w:p w:rsidR="007342CA" w:rsidRDefault="007342CA" w:rsidP="007342CA">
      <w:pPr>
        <w:pStyle w:val="ListParagraph"/>
        <w:numPr>
          <w:ilvl w:val="2"/>
          <w:numId w:val="1"/>
        </w:numPr>
      </w:pPr>
      <w:r>
        <w:t>$</w:t>
      </w:r>
      <w:r w:rsidR="00BC7629">
        <w:t>5.2</w:t>
      </w:r>
      <w:r>
        <w:t xml:space="preserve"> billion in carryover from </w:t>
      </w:r>
      <w:r w:rsidR="00DB2052">
        <w:t>prior years</w:t>
      </w:r>
    </w:p>
    <w:p w:rsidR="007342CA" w:rsidRDefault="007342CA" w:rsidP="007342CA">
      <w:pPr>
        <w:pStyle w:val="ListParagraph"/>
        <w:numPr>
          <w:ilvl w:val="1"/>
          <w:numId w:val="1"/>
        </w:numPr>
      </w:pPr>
      <w:r>
        <w:t xml:space="preserve">Projected reserve </w:t>
      </w:r>
      <w:r w:rsidR="00DB2052">
        <w:t>is $</w:t>
      </w:r>
      <w:r w:rsidR="00BC7629">
        <w:t>10.2 billion for 2016-17</w:t>
      </w:r>
    </w:p>
    <w:p w:rsidR="00DB2052" w:rsidRDefault="00DB2052" w:rsidP="00DB2052">
      <w:pPr>
        <w:pStyle w:val="ListParagraph"/>
        <w:numPr>
          <w:ilvl w:val="2"/>
          <w:numId w:val="1"/>
        </w:numPr>
      </w:pPr>
      <w:r>
        <w:t>Includes $</w:t>
      </w:r>
      <w:r w:rsidR="00BC7629">
        <w:t>3.2</w:t>
      </w:r>
      <w:r>
        <w:t xml:space="preserve"> billion fund balance plus $</w:t>
      </w:r>
      <w:r w:rsidR="00BC7629">
        <w:t>8</w:t>
      </w:r>
      <w:r>
        <w:t xml:space="preserve"> billion for </w:t>
      </w:r>
      <w:r w:rsidR="0066569F">
        <w:t>Budget Stabilization Account (Rainy Day Fund)</w:t>
      </w:r>
    </w:p>
    <w:p w:rsidR="00DB2052" w:rsidRDefault="00DB2052" w:rsidP="00DB2052">
      <w:pPr>
        <w:pStyle w:val="ListParagraph"/>
        <w:numPr>
          <w:ilvl w:val="2"/>
          <w:numId w:val="1"/>
        </w:numPr>
      </w:pPr>
      <w:r>
        <w:t>Less $9</w:t>
      </w:r>
      <w:r w:rsidR="00BC7629">
        <w:t>66</w:t>
      </w:r>
      <w:r>
        <w:t xml:space="preserve"> million in encumbrances</w:t>
      </w:r>
    </w:p>
    <w:p w:rsidR="0098534B" w:rsidRDefault="0098534B" w:rsidP="0098534B">
      <w:pPr>
        <w:rPr>
          <w:u w:val="single"/>
        </w:rPr>
      </w:pPr>
      <w:r>
        <w:rPr>
          <w:u w:val="single"/>
        </w:rPr>
        <w:t>K-12 Education Budget</w:t>
      </w:r>
    </w:p>
    <w:p w:rsidR="0098534B" w:rsidRDefault="0098534B" w:rsidP="0098534B">
      <w:pPr>
        <w:pStyle w:val="ListParagraph"/>
        <w:numPr>
          <w:ilvl w:val="0"/>
          <w:numId w:val="1"/>
        </w:numPr>
      </w:pPr>
      <w:r>
        <w:t>Major budget components</w:t>
      </w:r>
    </w:p>
    <w:p w:rsidR="0098534B" w:rsidRDefault="00A16A3A" w:rsidP="0098534B">
      <w:pPr>
        <w:pStyle w:val="ListParagraph"/>
        <w:numPr>
          <w:ilvl w:val="1"/>
          <w:numId w:val="1"/>
        </w:numPr>
      </w:pPr>
      <w:r>
        <w:t>$</w:t>
      </w:r>
      <w:r w:rsidR="00510068">
        <w:t>2.8</w:t>
      </w:r>
      <w:r>
        <w:t xml:space="preserve"> billion</w:t>
      </w:r>
      <w:r w:rsidR="0098534B">
        <w:t xml:space="preserve"> for district and charter school implementation of the LCFF</w:t>
      </w:r>
    </w:p>
    <w:p w:rsidR="0098534B" w:rsidRDefault="00510068" w:rsidP="0098534B">
      <w:pPr>
        <w:pStyle w:val="ListParagraph"/>
        <w:numPr>
          <w:ilvl w:val="2"/>
          <w:numId w:val="1"/>
        </w:numPr>
      </w:pPr>
      <w:r>
        <w:t>Closes the gap between 2015-16</w:t>
      </w:r>
      <w:r w:rsidR="00B161E1">
        <w:t xml:space="preserve"> funding levels and</w:t>
      </w:r>
      <w:r>
        <w:t xml:space="preserve"> full LCFF implementation by 49.08%</w:t>
      </w:r>
    </w:p>
    <w:p w:rsidR="00B161E1" w:rsidRDefault="00421986" w:rsidP="0098534B">
      <w:pPr>
        <w:pStyle w:val="ListParagraph"/>
        <w:numPr>
          <w:ilvl w:val="2"/>
          <w:numId w:val="1"/>
        </w:numPr>
      </w:pPr>
      <w:r>
        <w:t xml:space="preserve">Within first </w:t>
      </w:r>
      <w:r w:rsidR="00510068">
        <w:t>4</w:t>
      </w:r>
      <w:r>
        <w:t xml:space="preserve"> years of the 8</w:t>
      </w:r>
      <w:r w:rsidR="00B161E1">
        <w:t xml:space="preserve"> year implementation plan</w:t>
      </w:r>
      <w:r>
        <w:t xml:space="preserve"> (full implementation by 2020-21)</w:t>
      </w:r>
      <w:r w:rsidR="00B161E1">
        <w:t xml:space="preserve">, LCFF would be </w:t>
      </w:r>
      <w:r w:rsidR="00510068">
        <w:t>95</w:t>
      </w:r>
      <w:r w:rsidR="00B161E1">
        <w:t>% funded</w:t>
      </w:r>
    </w:p>
    <w:p w:rsidR="001C46C7" w:rsidRDefault="001C46C7" w:rsidP="0098534B">
      <w:pPr>
        <w:pStyle w:val="ListParagraph"/>
        <w:numPr>
          <w:ilvl w:val="2"/>
          <w:numId w:val="1"/>
        </w:numPr>
      </w:pPr>
      <w:r>
        <w:t xml:space="preserve">COEs are now fully funded </w:t>
      </w:r>
    </w:p>
    <w:p w:rsidR="001C46C7" w:rsidRDefault="001C46C7" w:rsidP="001C46C7">
      <w:pPr>
        <w:pStyle w:val="ListParagraph"/>
        <w:numPr>
          <w:ilvl w:val="3"/>
          <w:numId w:val="1"/>
        </w:numPr>
      </w:pPr>
      <w:r>
        <w:lastRenderedPageBreak/>
        <w:t>COEs above their target entitlement will receive no new money</w:t>
      </w:r>
    </w:p>
    <w:p w:rsidR="001C46C7" w:rsidRDefault="001C46C7" w:rsidP="001C46C7">
      <w:pPr>
        <w:pStyle w:val="ListParagraph"/>
        <w:numPr>
          <w:ilvl w:val="3"/>
          <w:numId w:val="1"/>
        </w:numPr>
      </w:pPr>
      <w:r>
        <w:t>COEs at their target entitlement will receive increases based on the statutory COLA</w:t>
      </w:r>
    </w:p>
    <w:p w:rsidR="00510068" w:rsidRDefault="00510068" w:rsidP="00510068">
      <w:pPr>
        <w:pStyle w:val="ListParagraph"/>
        <w:numPr>
          <w:ilvl w:val="1"/>
          <w:numId w:val="1"/>
        </w:numPr>
      </w:pPr>
      <w:r>
        <w:t>1.6 billion for new Early Childhood Education Block Grant</w:t>
      </w:r>
    </w:p>
    <w:p w:rsidR="00510068" w:rsidRDefault="00510068" w:rsidP="00510068">
      <w:pPr>
        <w:pStyle w:val="ListParagraph"/>
        <w:numPr>
          <w:ilvl w:val="2"/>
          <w:numId w:val="1"/>
        </w:numPr>
      </w:pPr>
      <w:r>
        <w:t>Block grant would redistribute ECE funds to target more money towards disadvantaged students</w:t>
      </w:r>
    </w:p>
    <w:p w:rsidR="00510068" w:rsidRDefault="00510068" w:rsidP="00510068">
      <w:pPr>
        <w:pStyle w:val="ListParagraph"/>
        <w:numPr>
          <w:ilvl w:val="3"/>
          <w:numId w:val="1"/>
        </w:numPr>
      </w:pPr>
      <w:r>
        <w:t>Consolidates existing grants for:</w:t>
      </w:r>
    </w:p>
    <w:p w:rsidR="00510068" w:rsidRDefault="00510068" w:rsidP="00510068">
      <w:pPr>
        <w:pStyle w:val="ListParagraph"/>
        <w:numPr>
          <w:ilvl w:val="4"/>
          <w:numId w:val="1"/>
        </w:numPr>
      </w:pPr>
      <w:r>
        <w:t>State Preschool Program</w:t>
      </w:r>
    </w:p>
    <w:p w:rsidR="00510068" w:rsidRDefault="00510068" w:rsidP="00510068">
      <w:pPr>
        <w:pStyle w:val="ListParagraph"/>
        <w:numPr>
          <w:ilvl w:val="4"/>
          <w:numId w:val="1"/>
        </w:numPr>
      </w:pPr>
      <w:r>
        <w:t>Transitional Kindergarten</w:t>
      </w:r>
    </w:p>
    <w:p w:rsidR="00510068" w:rsidRDefault="00510068" w:rsidP="00510068">
      <w:pPr>
        <w:pStyle w:val="ListParagraph"/>
        <w:numPr>
          <w:ilvl w:val="4"/>
          <w:numId w:val="1"/>
        </w:numPr>
      </w:pPr>
      <w:r>
        <w:t>Preschool Quality Rating and Improvement Grant</w:t>
      </w:r>
    </w:p>
    <w:p w:rsidR="00510068" w:rsidRDefault="00510068" w:rsidP="00510068">
      <w:pPr>
        <w:pStyle w:val="ListParagraph"/>
        <w:numPr>
          <w:ilvl w:val="3"/>
          <w:numId w:val="1"/>
        </w:numPr>
      </w:pPr>
      <w:r>
        <w:t>Think of it as the ECE version of the LCFF</w:t>
      </w:r>
    </w:p>
    <w:p w:rsidR="00510068" w:rsidRDefault="00510068" w:rsidP="00510068">
      <w:pPr>
        <w:pStyle w:val="ListParagraph"/>
        <w:numPr>
          <w:ilvl w:val="2"/>
          <w:numId w:val="1"/>
        </w:numPr>
      </w:pPr>
      <w:r>
        <w:t xml:space="preserve">Current proposal doesn’t provide additional money for ECE although this could change once the May revision is released </w:t>
      </w:r>
    </w:p>
    <w:p w:rsidR="00A16A3A" w:rsidRDefault="00A16A3A" w:rsidP="00A16A3A">
      <w:pPr>
        <w:pStyle w:val="ListParagraph"/>
        <w:numPr>
          <w:ilvl w:val="1"/>
          <w:numId w:val="1"/>
        </w:numPr>
      </w:pPr>
      <w:r>
        <w:t>$1.</w:t>
      </w:r>
      <w:r w:rsidR="00510068">
        <w:t>2</w:t>
      </w:r>
      <w:r w:rsidR="005E2B65">
        <w:t xml:space="preserve"> billion</w:t>
      </w:r>
      <w:r>
        <w:t xml:space="preserve"> for discretionary one-time uses</w:t>
      </w:r>
    </w:p>
    <w:p w:rsidR="00877A60" w:rsidRDefault="00510068" w:rsidP="00877A60">
      <w:pPr>
        <w:pStyle w:val="ListParagraph"/>
        <w:numPr>
          <w:ilvl w:val="1"/>
          <w:numId w:val="1"/>
        </w:numPr>
      </w:pPr>
      <w:r>
        <w:t>$365</w:t>
      </w:r>
      <w:r w:rsidR="00877A60">
        <w:t xml:space="preserve"> million for Prop 39 – California Clean Jobs Act</w:t>
      </w:r>
    </w:p>
    <w:p w:rsidR="00877A60" w:rsidRDefault="00877A60" w:rsidP="00877A60">
      <w:pPr>
        <w:pStyle w:val="ListParagraph"/>
        <w:numPr>
          <w:ilvl w:val="2"/>
          <w:numId w:val="1"/>
        </w:numPr>
      </w:pPr>
      <w:r>
        <w:t>Money is used to support energy efficient projects</w:t>
      </w:r>
    </w:p>
    <w:p w:rsidR="00A16A3A" w:rsidRDefault="00A16A3A" w:rsidP="00385DC2">
      <w:pPr>
        <w:pStyle w:val="ListParagraph"/>
        <w:numPr>
          <w:ilvl w:val="1"/>
          <w:numId w:val="1"/>
        </w:numPr>
      </w:pPr>
      <w:r>
        <w:t xml:space="preserve">$250 million for one-time Career </w:t>
      </w:r>
      <w:r w:rsidR="00385DC2">
        <w:t xml:space="preserve">Technical </w:t>
      </w:r>
      <w:r>
        <w:t xml:space="preserve">Education </w:t>
      </w:r>
      <w:r w:rsidR="00385DC2">
        <w:t>I</w:t>
      </w:r>
      <w:r>
        <w:t xml:space="preserve">ncentive </w:t>
      </w:r>
      <w:r w:rsidR="00385DC2">
        <w:t>G</w:t>
      </w:r>
      <w:r>
        <w:t>rants (</w:t>
      </w:r>
      <w:r w:rsidR="00385DC2">
        <w:t>2015-16 thru 2017-18</w:t>
      </w:r>
      <w:r>
        <w:t>)</w:t>
      </w:r>
    </w:p>
    <w:p w:rsidR="00385DC2" w:rsidRDefault="00385DC2" w:rsidP="00385DC2">
      <w:pPr>
        <w:pStyle w:val="ListParagraph"/>
        <w:numPr>
          <w:ilvl w:val="2"/>
          <w:numId w:val="1"/>
        </w:numPr>
      </w:pPr>
      <w:r>
        <w:t>Applications have already been processed for 2015-16</w:t>
      </w:r>
    </w:p>
    <w:p w:rsidR="00D96B6A" w:rsidRDefault="00D96B6A" w:rsidP="00385DC2">
      <w:pPr>
        <w:pStyle w:val="ListParagraph"/>
        <w:numPr>
          <w:ilvl w:val="3"/>
          <w:numId w:val="1"/>
        </w:numPr>
      </w:pPr>
      <w:r>
        <w:t>LEAs have to apply for the grant money</w:t>
      </w:r>
    </w:p>
    <w:p w:rsidR="00D96B6A" w:rsidRDefault="00D96B6A" w:rsidP="00385DC2">
      <w:pPr>
        <w:pStyle w:val="ListParagraph"/>
        <w:numPr>
          <w:ilvl w:val="3"/>
          <w:numId w:val="1"/>
        </w:numPr>
      </w:pPr>
      <w:r>
        <w:t>LEAs must provide a local match equal to the amount of grant revenue obtained</w:t>
      </w:r>
    </w:p>
    <w:p w:rsidR="00D96B6A" w:rsidRDefault="00D96B6A" w:rsidP="00385DC2">
      <w:pPr>
        <w:pStyle w:val="ListParagraph"/>
        <w:numPr>
          <w:ilvl w:val="4"/>
          <w:numId w:val="1"/>
        </w:numPr>
      </w:pPr>
      <w:r>
        <w:t>Benefits LEAs with Career Education programs</w:t>
      </w:r>
      <w:r w:rsidR="00807CD3">
        <w:t>/funding</w:t>
      </w:r>
      <w:r>
        <w:t xml:space="preserve"> already in place</w:t>
      </w:r>
    </w:p>
    <w:p w:rsidR="00385DC2" w:rsidRDefault="00385DC2" w:rsidP="00385DC2">
      <w:pPr>
        <w:pStyle w:val="ListParagraph"/>
        <w:numPr>
          <w:ilvl w:val="2"/>
          <w:numId w:val="1"/>
        </w:numPr>
      </w:pPr>
      <w:r>
        <w:t>Funding for year 2 (2016-17) will be based on a 1:1.5 match</w:t>
      </w:r>
    </w:p>
    <w:p w:rsidR="007D037B" w:rsidRDefault="00A16A3A" w:rsidP="00385DC2">
      <w:pPr>
        <w:pStyle w:val="ListParagraph"/>
        <w:numPr>
          <w:ilvl w:val="1"/>
          <w:numId w:val="1"/>
        </w:numPr>
      </w:pPr>
      <w:r>
        <w:t>$</w:t>
      </w:r>
      <w:r w:rsidR="00385DC2">
        <w:t>61</w:t>
      </w:r>
      <w:r>
        <w:t xml:space="preserve"> million for </w:t>
      </w:r>
      <w:r w:rsidR="00385DC2">
        <w:t xml:space="preserve">charter school </w:t>
      </w:r>
      <w:r>
        <w:t xml:space="preserve">ADA </w:t>
      </w:r>
    </w:p>
    <w:p w:rsidR="00005393" w:rsidRDefault="00005393" w:rsidP="00005393">
      <w:pPr>
        <w:pStyle w:val="ListParagraph"/>
        <w:numPr>
          <w:ilvl w:val="0"/>
          <w:numId w:val="1"/>
        </w:numPr>
      </w:pPr>
      <w:r>
        <w:t>Outstanding issues</w:t>
      </w:r>
    </w:p>
    <w:p w:rsidR="00005393" w:rsidRDefault="00744F5E" w:rsidP="00005393">
      <w:pPr>
        <w:pStyle w:val="ListParagraph"/>
        <w:numPr>
          <w:ilvl w:val="1"/>
          <w:numId w:val="1"/>
        </w:numPr>
      </w:pPr>
      <w:r>
        <w:t>No proposal for statewide school facilities bond</w:t>
      </w:r>
    </w:p>
    <w:p w:rsidR="00385DC2" w:rsidRDefault="00385DC2" w:rsidP="00385DC2">
      <w:pPr>
        <w:pStyle w:val="ListParagraph"/>
        <w:numPr>
          <w:ilvl w:val="2"/>
          <w:numId w:val="1"/>
        </w:numPr>
      </w:pPr>
      <w:r>
        <w:t xml:space="preserve">Although a new </w:t>
      </w:r>
      <w:r w:rsidR="00FA7048">
        <w:t xml:space="preserve">$9 billion </w:t>
      </w:r>
      <w:r>
        <w:t>school facilities bond will be placed on the ballot this November, Governor Brown does not support it</w:t>
      </w:r>
    </w:p>
    <w:p w:rsidR="00385DC2" w:rsidRDefault="00385DC2" w:rsidP="00385DC2">
      <w:pPr>
        <w:pStyle w:val="ListParagraph"/>
        <w:numPr>
          <w:ilvl w:val="3"/>
          <w:numId w:val="1"/>
        </w:numPr>
      </w:pPr>
      <w:r>
        <w:t>Too complex</w:t>
      </w:r>
    </w:p>
    <w:p w:rsidR="00385DC2" w:rsidRDefault="00385DC2" w:rsidP="00385DC2">
      <w:pPr>
        <w:pStyle w:val="ListParagraph"/>
        <w:numPr>
          <w:ilvl w:val="3"/>
          <w:numId w:val="1"/>
        </w:numPr>
      </w:pPr>
      <w:r>
        <w:t xml:space="preserve">Inequity that favors LEAs with </w:t>
      </w:r>
      <w:r w:rsidR="00FA7048">
        <w:t>dedicated facilities staff</w:t>
      </w:r>
    </w:p>
    <w:p w:rsidR="00FA7048" w:rsidRDefault="00FA7048" w:rsidP="00385DC2">
      <w:pPr>
        <w:pStyle w:val="ListParagraph"/>
        <w:numPr>
          <w:ilvl w:val="3"/>
          <w:numId w:val="1"/>
        </w:numPr>
      </w:pPr>
      <w:r>
        <w:t>Inflexible in terms of being able to design facilities that meet local needs</w:t>
      </w:r>
    </w:p>
    <w:p w:rsidR="00FA7048" w:rsidRDefault="00FA7048" w:rsidP="00385DC2">
      <w:pPr>
        <w:pStyle w:val="ListParagraph"/>
        <w:numPr>
          <w:ilvl w:val="3"/>
          <w:numId w:val="1"/>
        </w:numPr>
      </w:pPr>
      <w:r>
        <w:t>Governor Brown is looking to change or replace the bond proposal with one that is more flexible and smaller in terms of the total bond amount</w:t>
      </w:r>
    </w:p>
    <w:p w:rsidR="00F037A7" w:rsidRDefault="00F037A7" w:rsidP="00F037A7">
      <w:pPr>
        <w:pStyle w:val="ListParagraph"/>
        <w:numPr>
          <w:ilvl w:val="1"/>
          <w:numId w:val="1"/>
        </w:numPr>
      </w:pPr>
      <w:r>
        <w:t>Deferred Maintenance funds have been folded into the LCFF</w:t>
      </w:r>
    </w:p>
    <w:p w:rsidR="00F037A7" w:rsidRDefault="00F037A7" w:rsidP="00F037A7">
      <w:pPr>
        <w:pStyle w:val="ListParagraph"/>
        <w:numPr>
          <w:ilvl w:val="2"/>
          <w:numId w:val="1"/>
        </w:numPr>
      </w:pPr>
      <w:r>
        <w:t>No new dollars means limited resources available to keep facilities in good repair</w:t>
      </w:r>
    </w:p>
    <w:p w:rsidR="00841A69" w:rsidRDefault="00841A69" w:rsidP="00841A69">
      <w:pPr>
        <w:pStyle w:val="ListParagraph"/>
        <w:numPr>
          <w:ilvl w:val="1"/>
          <w:numId w:val="1"/>
        </w:numPr>
      </w:pPr>
      <w:r>
        <w:t>No new money for Transportation outside of the LCFF add-on</w:t>
      </w:r>
    </w:p>
    <w:p w:rsidR="00744F5E" w:rsidRDefault="00744F5E" w:rsidP="00005393">
      <w:pPr>
        <w:pStyle w:val="ListParagraph"/>
        <w:numPr>
          <w:ilvl w:val="1"/>
          <w:numId w:val="1"/>
        </w:numPr>
      </w:pPr>
      <w:proofErr w:type="spellStart"/>
      <w:r>
        <w:t>CalSTRS</w:t>
      </w:r>
      <w:proofErr w:type="spellEnd"/>
      <w:r w:rsidR="005E2B65">
        <w:t xml:space="preserve"> and CalPERS</w:t>
      </w:r>
      <w:r w:rsidR="003F7CA4">
        <w:t xml:space="preserve"> continue</w:t>
      </w:r>
      <w:r>
        <w:t xml:space="preserve"> to be underfunded</w:t>
      </w:r>
    </w:p>
    <w:p w:rsidR="005E2B65" w:rsidRDefault="005E2B65" w:rsidP="005E2B65">
      <w:pPr>
        <w:pStyle w:val="ListParagraph"/>
        <w:numPr>
          <w:ilvl w:val="2"/>
          <w:numId w:val="1"/>
        </w:numPr>
      </w:pPr>
      <w:r>
        <w:t xml:space="preserve">8.25% contribution rate in 2013-14 to 19.1% in 2020-21 for </w:t>
      </w:r>
      <w:proofErr w:type="spellStart"/>
      <w:r>
        <w:t>CalSTRS</w:t>
      </w:r>
      <w:proofErr w:type="spellEnd"/>
    </w:p>
    <w:p w:rsidR="00EC4EEC" w:rsidRDefault="005E2B65" w:rsidP="005E2B65">
      <w:pPr>
        <w:pStyle w:val="ListParagraph"/>
        <w:numPr>
          <w:ilvl w:val="2"/>
          <w:numId w:val="1"/>
        </w:numPr>
      </w:pPr>
      <w:r>
        <w:lastRenderedPageBreak/>
        <w:t>11.442% contribution rate in 2013-14 to 20.4% in 2020-21 for CalPERS</w:t>
      </w:r>
    </w:p>
    <w:p w:rsidR="0018128D" w:rsidRDefault="00EC4EEC" w:rsidP="005E2B65">
      <w:pPr>
        <w:pStyle w:val="ListParagraph"/>
        <w:numPr>
          <w:ilvl w:val="2"/>
          <w:numId w:val="1"/>
        </w:numPr>
      </w:pPr>
      <w:r>
        <w:t>2015-16 Budget Proposal does not address these cost increases</w:t>
      </w:r>
    </w:p>
    <w:p w:rsidR="00202E9F" w:rsidRDefault="00976108" w:rsidP="00202E9F">
      <w:pPr>
        <w:rPr>
          <w:u w:val="single"/>
        </w:rPr>
      </w:pPr>
      <w:r>
        <w:rPr>
          <w:u w:val="single"/>
        </w:rPr>
        <w:t>County Office LCFF Recap</w:t>
      </w:r>
    </w:p>
    <w:p w:rsidR="00976108" w:rsidRDefault="0042779D" w:rsidP="00976108">
      <w:pPr>
        <w:pStyle w:val="ListParagraph"/>
        <w:numPr>
          <w:ilvl w:val="0"/>
          <w:numId w:val="1"/>
        </w:numPr>
      </w:pPr>
      <w:r>
        <w:t>Major components of county office LCFF calculation</w:t>
      </w:r>
      <w:r w:rsidR="00AC57AF">
        <w:t xml:space="preserve"> </w:t>
      </w:r>
    </w:p>
    <w:p w:rsidR="0042779D" w:rsidRDefault="0042779D" w:rsidP="0042779D">
      <w:pPr>
        <w:pStyle w:val="ListParagraph"/>
        <w:numPr>
          <w:ilvl w:val="1"/>
          <w:numId w:val="1"/>
        </w:numPr>
      </w:pPr>
      <w:r>
        <w:t>County oversight funding</w:t>
      </w:r>
      <w:r w:rsidR="005F34B2">
        <w:t xml:space="preserve"> (includes </w:t>
      </w:r>
      <w:r w:rsidR="00CD798E">
        <w:t>0.47</w:t>
      </w:r>
      <w:r w:rsidR="005F34B2">
        <w:t>% COLA for 2016</w:t>
      </w:r>
      <w:r w:rsidR="00CD798E">
        <w:t>-17</w:t>
      </w:r>
      <w:r w:rsidR="005F34B2">
        <w:t>)</w:t>
      </w:r>
    </w:p>
    <w:p w:rsidR="0042779D" w:rsidRDefault="002379C9" w:rsidP="0042779D">
      <w:pPr>
        <w:pStyle w:val="ListParagraph"/>
        <w:numPr>
          <w:ilvl w:val="2"/>
          <w:numId w:val="1"/>
        </w:numPr>
      </w:pPr>
      <w:r>
        <w:t>$671,383</w:t>
      </w:r>
      <w:r w:rsidR="0042779D">
        <w:t xml:space="preserve"> base allocation per county</w:t>
      </w:r>
    </w:p>
    <w:p w:rsidR="0042779D" w:rsidRDefault="002379C9" w:rsidP="0042779D">
      <w:pPr>
        <w:pStyle w:val="ListParagraph"/>
        <w:numPr>
          <w:ilvl w:val="2"/>
          <w:numId w:val="1"/>
        </w:numPr>
      </w:pPr>
      <w:r>
        <w:t>$111,897</w:t>
      </w:r>
      <w:r w:rsidR="0042779D">
        <w:t xml:space="preserve"> for each district in the county</w:t>
      </w:r>
    </w:p>
    <w:p w:rsidR="0042779D" w:rsidRDefault="0042779D" w:rsidP="0042779D">
      <w:pPr>
        <w:pStyle w:val="ListParagraph"/>
        <w:numPr>
          <w:ilvl w:val="2"/>
          <w:numId w:val="1"/>
        </w:numPr>
      </w:pPr>
      <w:r>
        <w:t>County-wide ADA paid on declining per ADA rate as total ADA goes up</w:t>
      </w:r>
    </w:p>
    <w:p w:rsidR="0042779D" w:rsidRDefault="002379C9" w:rsidP="0042779D">
      <w:pPr>
        <w:pStyle w:val="ListParagraph"/>
        <w:numPr>
          <w:ilvl w:val="3"/>
          <w:numId w:val="1"/>
        </w:numPr>
      </w:pPr>
      <w:r>
        <w:t>$71.66</w:t>
      </w:r>
      <w:r w:rsidR="0042779D">
        <w:t>/ADA for the first 30,000 ADA</w:t>
      </w:r>
    </w:p>
    <w:p w:rsidR="0042779D" w:rsidRDefault="002379C9" w:rsidP="0042779D">
      <w:pPr>
        <w:pStyle w:val="ListParagraph"/>
        <w:numPr>
          <w:ilvl w:val="3"/>
          <w:numId w:val="1"/>
        </w:numPr>
      </w:pPr>
      <w:r>
        <w:t>$61.42</w:t>
      </w:r>
      <w:r w:rsidR="0042779D">
        <w:t>/ADA for next 30,000 ADA</w:t>
      </w:r>
    </w:p>
    <w:p w:rsidR="0042779D" w:rsidRDefault="006831C0" w:rsidP="0042779D">
      <w:pPr>
        <w:pStyle w:val="ListParagraph"/>
        <w:numPr>
          <w:ilvl w:val="3"/>
          <w:numId w:val="1"/>
        </w:numPr>
      </w:pPr>
      <w:r>
        <w:t>$51</w:t>
      </w:r>
      <w:r w:rsidR="002379C9">
        <w:t>.18</w:t>
      </w:r>
      <w:r w:rsidR="0042779D">
        <w:t>/ADA for the next 80,000 ADA</w:t>
      </w:r>
    </w:p>
    <w:p w:rsidR="0042779D" w:rsidRDefault="002379C9" w:rsidP="0042779D">
      <w:pPr>
        <w:pStyle w:val="ListParagraph"/>
        <w:numPr>
          <w:ilvl w:val="3"/>
          <w:numId w:val="1"/>
        </w:numPr>
      </w:pPr>
      <w:r>
        <w:t>$40.94</w:t>
      </w:r>
      <w:r w:rsidR="0042779D">
        <w:t>/ADA for all remaining ADA over 140,000</w:t>
      </w:r>
    </w:p>
    <w:p w:rsidR="0042779D" w:rsidRDefault="0042779D" w:rsidP="0042779D">
      <w:pPr>
        <w:pStyle w:val="ListParagraph"/>
        <w:numPr>
          <w:ilvl w:val="1"/>
          <w:numId w:val="1"/>
        </w:numPr>
      </w:pPr>
      <w:r>
        <w:t>Court and Community School Funding</w:t>
      </w:r>
    </w:p>
    <w:p w:rsidR="0042779D" w:rsidRDefault="00B25CE2" w:rsidP="0042779D">
      <w:pPr>
        <w:pStyle w:val="ListParagraph"/>
        <w:numPr>
          <w:ilvl w:val="2"/>
          <w:numId w:val="1"/>
        </w:numPr>
      </w:pPr>
      <w:r>
        <w:t>Community School</w:t>
      </w:r>
    </w:p>
    <w:p w:rsidR="0042779D" w:rsidRDefault="0042779D" w:rsidP="0042779D">
      <w:pPr>
        <w:pStyle w:val="ListParagraph"/>
        <w:numPr>
          <w:ilvl w:val="3"/>
          <w:numId w:val="1"/>
        </w:numPr>
      </w:pPr>
      <w:r>
        <w:t>$11,</w:t>
      </w:r>
      <w:r w:rsidR="002379C9">
        <w:t>482.26</w:t>
      </w:r>
      <w:r>
        <w:t xml:space="preserve"> per ADA base grant</w:t>
      </w:r>
    </w:p>
    <w:p w:rsidR="0042779D" w:rsidRDefault="0042779D" w:rsidP="0042779D">
      <w:pPr>
        <w:pStyle w:val="ListParagraph"/>
        <w:numPr>
          <w:ilvl w:val="4"/>
          <w:numId w:val="1"/>
        </w:numPr>
      </w:pPr>
      <w:r>
        <w:t xml:space="preserve">Based on </w:t>
      </w:r>
      <w:r w:rsidR="00AC57AF">
        <w:t xml:space="preserve">2012-13 </w:t>
      </w:r>
      <w:proofErr w:type="spellStart"/>
      <w:r w:rsidR="00AC57AF">
        <w:t>undeficited</w:t>
      </w:r>
      <w:proofErr w:type="spellEnd"/>
      <w:r w:rsidR="00AC57AF">
        <w:t xml:space="preserve"> base revenue limit</w:t>
      </w:r>
    </w:p>
    <w:p w:rsidR="0093227A" w:rsidRDefault="0093227A" w:rsidP="0042779D">
      <w:pPr>
        <w:pStyle w:val="ListParagraph"/>
        <w:numPr>
          <w:ilvl w:val="4"/>
          <w:numId w:val="1"/>
        </w:numPr>
      </w:pPr>
      <w:r>
        <w:t xml:space="preserve">Base grant </w:t>
      </w:r>
      <w:r w:rsidR="00450980">
        <w:t xml:space="preserve">includes </w:t>
      </w:r>
      <w:r>
        <w:t xml:space="preserve">statutory </w:t>
      </w:r>
      <w:r w:rsidR="002379C9">
        <w:t>0.47</w:t>
      </w:r>
      <w:r w:rsidR="00450980">
        <w:t xml:space="preserve">% </w:t>
      </w:r>
      <w:r>
        <w:t>COLA</w:t>
      </w:r>
    </w:p>
    <w:p w:rsidR="00AC57AF" w:rsidRDefault="00AC57AF" w:rsidP="00AC57AF">
      <w:pPr>
        <w:pStyle w:val="ListParagraph"/>
        <w:numPr>
          <w:ilvl w:val="3"/>
          <w:numId w:val="1"/>
        </w:numPr>
      </w:pPr>
      <w:r>
        <w:t>Supplemental grant</w:t>
      </w:r>
    </w:p>
    <w:p w:rsidR="00AC57AF" w:rsidRDefault="00E36FEC" w:rsidP="00AC57AF">
      <w:pPr>
        <w:pStyle w:val="ListParagraph"/>
        <w:numPr>
          <w:ilvl w:val="4"/>
          <w:numId w:val="1"/>
        </w:numPr>
      </w:pPr>
      <w:r>
        <w:t xml:space="preserve">Adds </w:t>
      </w:r>
      <w:r w:rsidR="002379C9">
        <w:t>35% to the base grant ($4,018.79</w:t>
      </w:r>
      <w:r w:rsidR="00AC57AF">
        <w:t>) for each eligible student</w:t>
      </w:r>
    </w:p>
    <w:p w:rsidR="00AC57AF" w:rsidRDefault="00AC57AF" w:rsidP="00AC57AF">
      <w:pPr>
        <w:pStyle w:val="ListParagraph"/>
        <w:numPr>
          <w:ilvl w:val="4"/>
          <w:numId w:val="1"/>
        </w:numPr>
      </w:pPr>
      <w:r>
        <w:t>Qualified students</w:t>
      </w:r>
    </w:p>
    <w:p w:rsidR="00AC57AF" w:rsidRDefault="00AC57AF" w:rsidP="00AC57AF">
      <w:pPr>
        <w:pStyle w:val="ListParagraph"/>
        <w:numPr>
          <w:ilvl w:val="5"/>
          <w:numId w:val="1"/>
        </w:numPr>
      </w:pPr>
      <w:r>
        <w:t>English learners</w:t>
      </w:r>
    </w:p>
    <w:p w:rsidR="00AC57AF" w:rsidRDefault="00AC57AF" w:rsidP="00AC57AF">
      <w:pPr>
        <w:pStyle w:val="ListParagraph"/>
        <w:numPr>
          <w:ilvl w:val="5"/>
          <w:numId w:val="1"/>
        </w:numPr>
      </w:pPr>
      <w:r>
        <w:t>Students who are eligible for free or reduced meals</w:t>
      </w:r>
    </w:p>
    <w:p w:rsidR="00AC57AF" w:rsidRDefault="00AC57AF" w:rsidP="00AC57AF">
      <w:pPr>
        <w:pStyle w:val="ListParagraph"/>
        <w:numPr>
          <w:ilvl w:val="5"/>
          <w:numId w:val="1"/>
        </w:numPr>
      </w:pPr>
      <w:r>
        <w:t>Foster youth</w:t>
      </w:r>
    </w:p>
    <w:p w:rsidR="00AC57AF" w:rsidRDefault="00AC57AF" w:rsidP="00AC57AF">
      <w:pPr>
        <w:pStyle w:val="ListParagraph"/>
        <w:numPr>
          <w:ilvl w:val="3"/>
          <w:numId w:val="1"/>
        </w:numPr>
      </w:pPr>
      <w:r>
        <w:t>Concentration grant</w:t>
      </w:r>
    </w:p>
    <w:p w:rsidR="00AC57AF" w:rsidRDefault="00AC57AF" w:rsidP="00AC57AF">
      <w:pPr>
        <w:pStyle w:val="ListParagraph"/>
        <w:numPr>
          <w:ilvl w:val="4"/>
          <w:numId w:val="1"/>
        </w:numPr>
      </w:pPr>
      <w:r>
        <w:t>Adds another 35% to the base grant ($</w:t>
      </w:r>
      <w:r w:rsidR="002379C9">
        <w:t>4,018.79</w:t>
      </w:r>
      <w:r>
        <w:t>) for the total number of students that qualify for the supplemental grant in excess of 50% of the school’s total enrollment</w:t>
      </w:r>
    </w:p>
    <w:p w:rsidR="00AC57AF" w:rsidRDefault="00AC57AF" w:rsidP="00AC57AF">
      <w:pPr>
        <w:pStyle w:val="ListParagraph"/>
        <w:numPr>
          <w:ilvl w:val="5"/>
          <w:numId w:val="1"/>
        </w:numPr>
      </w:pPr>
      <w:r>
        <w:t xml:space="preserve">Ex: If a school of 100 students has 75 that qualify for the supplemental grant, then the school would receive the concentration grant for 25 of those students  </w:t>
      </w:r>
    </w:p>
    <w:p w:rsidR="0042779D" w:rsidRDefault="00B25CE2" w:rsidP="0042779D">
      <w:pPr>
        <w:pStyle w:val="ListParagraph"/>
        <w:numPr>
          <w:ilvl w:val="2"/>
          <w:numId w:val="1"/>
        </w:numPr>
      </w:pPr>
      <w:r>
        <w:t>Court School</w:t>
      </w:r>
      <w:r w:rsidR="00AC57AF">
        <w:t xml:space="preserve"> – all students </w:t>
      </w:r>
      <w:r w:rsidR="0093227A">
        <w:t>qualify for the supplemental grant</w:t>
      </w:r>
    </w:p>
    <w:p w:rsidR="0042779D" w:rsidRDefault="0042779D" w:rsidP="0042779D">
      <w:pPr>
        <w:pStyle w:val="ListParagraph"/>
        <w:numPr>
          <w:ilvl w:val="3"/>
          <w:numId w:val="1"/>
        </w:numPr>
      </w:pPr>
      <w:r>
        <w:t>$11,</w:t>
      </w:r>
      <w:r w:rsidR="002379C9">
        <w:t>482.26</w:t>
      </w:r>
      <w:r>
        <w:t xml:space="preserve"> per ADA base grant</w:t>
      </w:r>
    </w:p>
    <w:p w:rsidR="0093227A" w:rsidRDefault="0093227A" w:rsidP="0093227A">
      <w:pPr>
        <w:pStyle w:val="ListParagraph"/>
        <w:numPr>
          <w:ilvl w:val="4"/>
          <w:numId w:val="1"/>
        </w:numPr>
      </w:pPr>
      <w:r>
        <w:t xml:space="preserve">Based on 2012-13 </w:t>
      </w:r>
      <w:proofErr w:type="spellStart"/>
      <w:r>
        <w:t>undeficited</w:t>
      </w:r>
      <w:proofErr w:type="spellEnd"/>
      <w:r>
        <w:t xml:space="preserve"> base revenue limit</w:t>
      </w:r>
    </w:p>
    <w:p w:rsidR="0093227A" w:rsidRDefault="0093227A" w:rsidP="0093227A">
      <w:pPr>
        <w:pStyle w:val="ListParagraph"/>
        <w:numPr>
          <w:ilvl w:val="4"/>
          <w:numId w:val="1"/>
        </w:numPr>
      </w:pPr>
      <w:r>
        <w:t xml:space="preserve">Base grant </w:t>
      </w:r>
      <w:r w:rsidR="00450980">
        <w:t>includes</w:t>
      </w:r>
      <w:r>
        <w:t xml:space="preserve"> statutory </w:t>
      </w:r>
      <w:r w:rsidR="002379C9">
        <w:t>0.47</w:t>
      </w:r>
      <w:r w:rsidR="00450980">
        <w:t xml:space="preserve">% </w:t>
      </w:r>
      <w:r>
        <w:t>COLA</w:t>
      </w:r>
    </w:p>
    <w:p w:rsidR="0042779D" w:rsidRDefault="0042779D" w:rsidP="0042779D">
      <w:pPr>
        <w:pStyle w:val="ListParagraph"/>
        <w:numPr>
          <w:ilvl w:val="3"/>
          <w:numId w:val="1"/>
        </w:numPr>
      </w:pPr>
      <w:r>
        <w:t>Supplemental grant equal to 35% of base grant ($</w:t>
      </w:r>
      <w:r w:rsidR="002379C9">
        <w:t>4,018.79</w:t>
      </w:r>
      <w:r>
        <w:t>)</w:t>
      </w:r>
      <w:r w:rsidR="0093227A">
        <w:t xml:space="preserve"> for each Court School student</w:t>
      </w:r>
    </w:p>
    <w:p w:rsidR="0042779D" w:rsidRDefault="0093227A" w:rsidP="0093227A">
      <w:pPr>
        <w:pStyle w:val="ListParagraph"/>
        <w:numPr>
          <w:ilvl w:val="3"/>
          <w:numId w:val="1"/>
        </w:numPr>
      </w:pPr>
      <w:r>
        <w:t>Concentration grant e</w:t>
      </w:r>
      <w:r w:rsidR="002379C9">
        <w:t>qual to 17.5% of base grant ($2,009.40</w:t>
      </w:r>
      <w:r>
        <w:t>) per student</w:t>
      </w:r>
    </w:p>
    <w:p w:rsidR="0093227A" w:rsidRDefault="0093227A" w:rsidP="0093227A">
      <w:pPr>
        <w:pStyle w:val="ListParagraph"/>
        <w:numPr>
          <w:ilvl w:val="4"/>
          <w:numId w:val="1"/>
        </w:numPr>
      </w:pPr>
      <w:r>
        <w:t>With all students qualifying for the supplemental grant, exactly half of them would qualify for the concentration grant as well</w:t>
      </w:r>
    </w:p>
    <w:p w:rsidR="0093227A" w:rsidRDefault="0093227A" w:rsidP="0093227A">
      <w:pPr>
        <w:pStyle w:val="ListParagraph"/>
        <w:numPr>
          <w:ilvl w:val="3"/>
          <w:numId w:val="1"/>
        </w:numPr>
      </w:pPr>
      <w:r>
        <w:lastRenderedPageBreak/>
        <w:t>Total funding fo</w:t>
      </w:r>
      <w:r w:rsidR="00E36FEC">
        <w:t>r Cour</w:t>
      </w:r>
      <w:r w:rsidR="002379C9">
        <w:t>t School comes out to $17,510.45</w:t>
      </w:r>
      <w:r>
        <w:t xml:space="preserve"> per ADA x total Court School ADA</w:t>
      </w:r>
    </w:p>
    <w:p w:rsidR="00B25CE2" w:rsidRDefault="00B25CE2" w:rsidP="00B25CE2">
      <w:pPr>
        <w:pStyle w:val="ListParagraph"/>
        <w:numPr>
          <w:ilvl w:val="0"/>
          <w:numId w:val="1"/>
        </w:numPr>
      </w:pPr>
      <w:r>
        <w:t>Other LCFF considerations</w:t>
      </w:r>
    </w:p>
    <w:p w:rsidR="00BB39F3" w:rsidRDefault="00BB39F3" w:rsidP="000B4B89">
      <w:pPr>
        <w:pStyle w:val="ListParagraph"/>
        <w:numPr>
          <w:ilvl w:val="1"/>
          <w:numId w:val="1"/>
        </w:numPr>
      </w:pPr>
      <w:r>
        <w:t>Hold-harmless provision protects LEAs from receiving less than the combined revenue limit and State categorical funding received in 2012-13</w:t>
      </w:r>
    </w:p>
    <w:p w:rsidR="00BB39F3" w:rsidRDefault="00BB39F3" w:rsidP="00BB39F3">
      <w:pPr>
        <w:pStyle w:val="ListParagraph"/>
        <w:numPr>
          <w:ilvl w:val="2"/>
          <w:numId w:val="1"/>
        </w:numPr>
      </w:pPr>
      <w:r>
        <w:t>Hold-harmless provision kicks in when total funding calculated by the LCFF is less than LEA’s 2012-13 total revenue limit/categorical funding level</w:t>
      </w:r>
    </w:p>
    <w:p w:rsidR="00BB39F3" w:rsidRDefault="00BB39F3" w:rsidP="00BB39F3">
      <w:pPr>
        <w:pStyle w:val="ListParagraph"/>
        <w:numPr>
          <w:ilvl w:val="2"/>
          <w:numId w:val="1"/>
        </w:numPr>
      </w:pPr>
      <w:r>
        <w:t>LEAs continue to be flat-funded at the hold-harmless level until the total LCFF target funding rises above the hold-harmless amount</w:t>
      </w:r>
    </w:p>
    <w:p w:rsidR="000B4B89" w:rsidRDefault="000B4B89" w:rsidP="000B4B89">
      <w:pPr>
        <w:pStyle w:val="ListParagraph"/>
        <w:numPr>
          <w:ilvl w:val="1"/>
          <w:numId w:val="1"/>
        </w:numPr>
      </w:pPr>
      <w:r>
        <w:t>Special Education exists outside the LCFF funding model and continues to be funded under the old AB</w:t>
      </w:r>
      <w:r w:rsidR="00CB4D21">
        <w:t xml:space="preserve"> </w:t>
      </w:r>
      <w:bookmarkStart w:id="0" w:name="_GoBack"/>
      <w:bookmarkEnd w:id="0"/>
      <w:r>
        <w:t>602 model</w:t>
      </w:r>
    </w:p>
    <w:p w:rsidR="00BB39F3" w:rsidRDefault="00BB39F3" w:rsidP="000B4B89">
      <w:pPr>
        <w:pStyle w:val="ListParagraph"/>
        <w:numPr>
          <w:ilvl w:val="1"/>
          <w:numId w:val="1"/>
        </w:numPr>
      </w:pPr>
      <w:r>
        <w:t>Foster Youth program exists outside the LCFF funding model and continues to be funded under the traditional model</w:t>
      </w:r>
    </w:p>
    <w:p w:rsidR="000B4B89" w:rsidRDefault="00981A6E" w:rsidP="000B4B89">
      <w:pPr>
        <w:pStyle w:val="ListParagraph"/>
        <w:numPr>
          <w:ilvl w:val="1"/>
          <w:numId w:val="1"/>
        </w:numPr>
      </w:pPr>
      <w:r>
        <w:t>Home-to-School Transportation (including Special Education Transportation)</w:t>
      </w:r>
      <w:r w:rsidR="000B4B89">
        <w:t xml:space="preserve"> </w:t>
      </w:r>
      <w:r>
        <w:t>is included as an add-on to the LCFF</w:t>
      </w:r>
    </w:p>
    <w:p w:rsidR="00981A6E" w:rsidRDefault="00981A6E" w:rsidP="00981A6E">
      <w:pPr>
        <w:pStyle w:val="ListParagraph"/>
        <w:numPr>
          <w:ilvl w:val="2"/>
          <w:numId w:val="1"/>
        </w:numPr>
      </w:pPr>
      <w:r>
        <w:t>Maintenance of effort provision protects Transportation from cuts but provides no additional funding</w:t>
      </w:r>
    </w:p>
    <w:p w:rsidR="00981A6E" w:rsidRDefault="00981A6E" w:rsidP="00981A6E">
      <w:pPr>
        <w:pStyle w:val="ListParagraph"/>
        <w:numPr>
          <w:ilvl w:val="3"/>
          <w:numId w:val="1"/>
        </w:numPr>
      </w:pPr>
      <w:r>
        <w:t>MOE equals the lesser of</w:t>
      </w:r>
    </w:p>
    <w:p w:rsidR="00981A6E" w:rsidRDefault="00981A6E" w:rsidP="00981A6E">
      <w:pPr>
        <w:pStyle w:val="ListParagraph"/>
        <w:numPr>
          <w:ilvl w:val="4"/>
          <w:numId w:val="1"/>
        </w:numPr>
      </w:pPr>
      <w:r>
        <w:t>Actual 2012-13 expenditures</w:t>
      </w:r>
    </w:p>
    <w:p w:rsidR="00981A6E" w:rsidRDefault="002379C9" w:rsidP="00981A6E">
      <w:pPr>
        <w:pStyle w:val="ListParagraph"/>
        <w:numPr>
          <w:ilvl w:val="4"/>
          <w:numId w:val="1"/>
        </w:numPr>
      </w:pPr>
      <w:r>
        <w:t>Actual 2015-16</w:t>
      </w:r>
      <w:r w:rsidR="00981A6E">
        <w:t xml:space="preserve"> transportation revenue</w:t>
      </w:r>
    </w:p>
    <w:p w:rsidR="00981A6E" w:rsidRDefault="00981A6E" w:rsidP="00981A6E">
      <w:pPr>
        <w:pStyle w:val="ListParagraph"/>
        <w:numPr>
          <w:ilvl w:val="1"/>
          <w:numId w:val="1"/>
        </w:numPr>
      </w:pPr>
      <w:r>
        <w:t xml:space="preserve">Career Education </w:t>
      </w:r>
    </w:p>
    <w:p w:rsidR="003D5469" w:rsidRDefault="003D5469" w:rsidP="00981A6E">
      <w:pPr>
        <w:pStyle w:val="ListParagraph"/>
        <w:numPr>
          <w:ilvl w:val="2"/>
          <w:numId w:val="1"/>
        </w:numPr>
      </w:pPr>
      <w:r>
        <w:t>The $250 m</w:t>
      </w:r>
      <w:r w:rsidR="002379C9">
        <w:t>illion incentive grant that started in 2015-16 and continues through 2017-18</w:t>
      </w:r>
      <w:r>
        <w:t xml:space="preserve"> is meant to help Career Education programs continue to adapt to changing environment </w:t>
      </w:r>
    </w:p>
    <w:p w:rsidR="002379C9" w:rsidRDefault="002379C9" w:rsidP="002379C9">
      <w:pPr>
        <w:pStyle w:val="ListParagraph"/>
        <w:numPr>
          <w:ilvl w:val="3"/>
          <w:numId w:val="1"/>
        </w:numPr>
      </w:pPr>
      <w:r>
        <w:t>2015-16 required a 1:1 match</w:t>
      </w:r>
    </w:p>
    <w:p w:rsidR="002379C9" w:rsidRDefault="002379C9" w:rsidP="002379C9">
      <w:pPr>
        <w:pStyle w:val="ListParagraph"/>
        <w:numPr>
          <w:ilvl w:val="3"/>
          <w:numId w:val="1"/>
        </w:numPr>
      </w:pPr>
      <w:r>
        <w:t>2016-17 will require a 1:1.5 match</w:t>
      </w:r>
    </w:p>
    <w:p w:rsidR="002379C9" w:rsidRDefault="002379C9" w:rsidP="002379C9">
      <w:pPr>
        <w:pStyle w:val="ListParagraph"/>
        <w:numPr>
          <w:ilvl w:val="3"/>
          <w:numId w:val="1"/>
        </w:numPr>
      </w:pPr>
      <w:r>
        <w:t>2017-18 will require a 1:2 match</w:t>
      </w:r>
    </w:p>
    <w:sectPr w:rsidR="0023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A86"/>
    <w:multiLevelType w:val="hybridMultilevel"/>
    <w:tmpl w:val="F6A85644"/>
    <w:lvl w:ilvl="0" w:tplc="6B40F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0CC8"/>
    <w:multiLevelType w:val="hybridMultilevel"/>
    <w:tmpl w:val="9DF8A746"/>
    <w:lvl w:ilvl="0" w:tplc="04581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04"/>
    <w:rsid w:val="00005393"/>
    <w:rsid w:val="000161FD"/>
    <w:rsid w:val="0005250B"/>
    <w:rsid w:val="000B4B89"/>
    <w:rsid w:val="000C5E8C"/>
    <w:rsid w:val="0018128D"/>
    <w:rsid w:val="001C18FA"/>
    <w:rsid w:val="001C46C7"/>
    <w:rsid w:val="00202E9F"/>
    <w:rsid w:val="002379C9"/>
    <w:rsid w:val="00240557"/>
    <w:rsid w:val="00244EF5"/>
    <w:rsid w:val="002B45A6"/>
    <w:rsid w:val="003604C7"/>
    <w:rsid w:val="00360704"/>
    <w:rsid w:val="00376BF6"/>
    <w:rsid w:val="00385DC2"/>
    <w:rsid w:val="003A683C"/>
    <w:rsid w:val="003D5469"/>
    <w:rsid w:val="003F0C4F"/>
    <w:rsid w:val="003F7CA4"/>
    <w:rsid w:val="00421986"/>
    <w:rsid w:val="0042779D"/>
    <w:rsid w:val="00450980"/>
    <w:rsid w:val="00486040"/>
    <w:rsid w:val="004B4FD0"/>
    <w:rsid w:val="004C0C6E"/>
    <w:rsid w:val="00504DF1"/>
    <w:rsid w:val="00510068"/>
    <w:rsid w:val="005E2B65"/>
    <w:rsid w:val="005F0496"/>
    <w:rsid w:val="005F34B2"/>
    <w:rsid w:val="0066569F"/>
    <w:rsid w:val="006831C0"/>
    <w:rsid w:val="00716C5A"/>
    <w:rsid w:val="007342CA"/>
    <w:rsid w:val="00744F5E"/>
    <w:rsid w:val="007B5507"/>
    <w:rsid w:val="007D037B"/>
    <w:rsid w:val="007F1B2C"/>
    <w:rsid w:val="007F29C8"/>
    <w:rsid w:val="00807CD3"/>
    <w:rsid w:val="00834771"/>
    <w:rsid w:val="00841A69"/>
    <w:rsid w:val="00877A60"/>
    <w:rsid w:val="008B0C2C"/>
    <w:rsid w:val="0093227A"/>
    <w:rsid w:val="00932322"/>
    <w:rsid w:val="00976108"/>
    <w:rsid w:val="00981A6E"/>
    <w:rsid w:val="0098534B"/>
    <w:rsid w:val="00A16A3A"/>
    <w:rsid w:val="00A53947"/>
    <w:rsid w:val="00AA4D6C"/>
    <w:rsid w:val="00AC57AF"/>
    <w:rsid w:val="00B161E1"/>
    <w:rsid w:val="00B25CE2"/>
    <w:rsid w:val="00B32081"/>
    <w:rsid w:val="00BB39F3"/>
    <w:rsid w:val="00BC7629"/>
    <w:rsid w:val="00C60E03"/>
    <w:rsid w:val="00CB4D21"/>
    <w:rsid w:val="00CD798E"/>
    <w:rsid w:val="00D9105D"/>
    <w:rsid w:val="00D96B6A"/>
    <w:rsid w:val="00DB2052"/>
    <w:rsid w:val="00E36FEC"/>
    <w:rsid w:val="00E5301D"/>
    <w:rsid w:val="00E82D7A"/>
    <w:rsid w:val="00EC4EEC"/>
    <w:rsid w:val="00EF0CEC"/>
    <w:rsid w:val="00F037A7"/>
    <w:rsid w:val="00F6600A"/>
    <w:rsid w:val="00FA7048"/>
    <w:rsid w:val="00FC0AA4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BBBD0-78ED-4CB6-B0AF-A9D4B7DA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Calasin</dc:creator>
  <cp:lastModifiedBy>Rudy Calasin</cp:lastModifiedBy>
  <cp:revision>2</cp:revision>
  <dcterms:created xsi:type="dcterms:W3CDTF">2016-01-20T20:02:00Z</dcterms:created>
  <dcterms:modified xsi:type="dcterms:W3CDTF">2016-01-20T20:02:00Z</dcterms:modified>
</cp:coreProperties>
</file>